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Информационно-статистический обзор</w:t>
      </w:r>
    </w:p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рассмотренных в 202</w:t>
      </w:r>
      <w:r>
        <w:rPr>
          <w:rFonts w:ascii="Times New Roman" w:hAnsi="Times New Roman" w:eastAsia="Times New Roman"/>
          <w:b/>
          <w:sz w:val="28"/>
          <w:szCs w:val="28"/>
        </w:rPr>
        <w:t xml:space="preserve">4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году обращений, запросов информации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br w:type="textWrapping" w:clear="all"/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и сообщений граждан, объединений граждан, в том числе юридических лиц, поступивших в адрес министерства цифрового развития и связи Новосибирской области,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а также результатов рассмотрения обращений и принятых мер </w:t>
      </w:r>
    </w:p>
    <w:p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Рассмотрение письменных и личных обращений, устных сообщений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 w:type="textWrapping" w:clear="all"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запросов граждан, объединений граждан, в том числе юридических лиц, поступивших в адрес министерства цифрового развития и связи Нов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осибирской области (далее - министерство) организовано в соответствии с Конституцией Российской Федерации, действующим федеральным и областным законодательством, нормативными правовыми актами Новосибирской области.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202</w:t>
      </w:r>
      <w:r>
        <w:rPr>
          <w:rFonts w:ascii="Times New Roman" w:hAnsi="Times New Roman" w:eastAsia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году в министерство и через общес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твенную приемную Губернатора Новосибирской области поступило 3</w:t>
      </w:r>
      <w:r>
        <w:rPr>
          <w:rFonts w:ascii="Times New Roman" w:hAnsi="Times New Roman" w:eastAsia="Times New Roman"/>
          <w:sz w:val="28"/>
          <w:szCs w:val="28"/>
        </w:rPr>
        <w:t xml:space="preserve">61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обращение граждан: </w:t>
      </w:r>
      <w:r>
        <w:rPr>
          <w:rFonts w:ascii="Times New Roman" w:hAnsi="Times New Roman" w:eastAsia="Times New Roman"/>
          <w:sz w:val="28"/>
          <w:szCs w:val="28"/>
        </w:rPr>
        <w:t xml:space="preserve">83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I квартале, </w:t>
      </w:r>
      <w:r>
        <w:rPr>
          <w:rFonts w:ascii="Times New Roman" w:hAnsi="Times New Roman" w:eastAsia="Times New Roman"/>
          <w:sz w:val="28"/>
          <w:szCs w:val="28"/>
        </w:rPr>
        <w:t xml:space="preserve">85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во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квартале, </w:t>
      </w:r>
      <w:r>
        <w:rPr>
          <w:rFonts w:ascii="Times New Roman" w:hAnsi="Times New Roman" w:eastAsia="Times New Roman"/>
          <w:sz w:val="28"/>
          <w:szCs w:val="28"/>
        </w:rPr>
        <w:t xml:space="preserve">111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III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квартале, </w:t>
      </w:r>
      <w:r>
        <w:rPr>
          <w:rFonts w:ascii="Times New Roman" w:hAnsi="Times New Roman" w:eastAsia="Times New Roman"/>
          <w:sz w:val="28"/>
          <w:szCs w:val="28"/>
        </w:rPr>
        <w:t xml:space="preserve">82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IV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квартале.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том числе: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1)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исьменных обращений и предложений – </w:t>
      </w:r>
      <w:r>
        <w:rPr>
          <w:rFonts w:ascii="Times New Roman" w:hAnsi="Times New Roman" w:eastAsia="Times New Roman"/>
          <w:sz w:val="28"/>
          <w:szCs w:val="28"/>
        </w:rPr>
        <w:t xml:space="preserve">75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квартале, </w:t>
      </w:r>
      <w:r>
        <w:rPr>
          <w:rFonts w:ascii="Times New Roman" w:hAnsi="Times New Roman" w:eastAsia="Times New Roman"/>
          <w:sz w:val="28"/>
          <w:szCs w:val="28"/>
        </w:rPr>
        <w:t xml:space="preserve">73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во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квартале, </w:t>
      </w:r>
      <w:r>
        <w:rPr>
          <w:rFonts w:ascii="Times New Roman" w:hAnsi="Times New Roman" w:eastAsia="Times New Roman"/>
          <w:sz w:val="28"/>
          <w:szCs w:val="28"/>
        </w:rPr>
        <w:t xml:space="preserve">101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III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 и </w:t>
      </w:r>
      <w:r>
        <w:rPr>
          <w:rFonts w:ascii="Times New Roman" w:hAnsi="Times New Roman" w:eastAsia="Times New Roman"/>
          <w:sz w:val="28"/>
          <w:szCs w:val="28"/>
        </w:rPr>
        <w:t xml:space="preserve">71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IV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 202</w:t>
      </w:r>
      <w:r>
        <w:rPr>
          <w:rFonts w:ascii="Times New Roman" w:hAnsi="Times New Roman" w:eastAsia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2) личных обращений на личных приемах министра </w:t>
      </w:r>
      <w:r>
        <w:rPr>
          <w:rFonts w:ascii="Times New Roman" w:hAnsi="Times New Roman" w:eastAsia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квартале, 1 во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квартале, 2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III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 и 5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IV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квартале;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3)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устных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ообщений и запросов в справочную телефонную службу министерства – 6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квартале, 11 во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вартале, 8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III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 и 6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IV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 2024.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center"/>
        <w:rPr>
          <w:lang w:eastAsia="ru-RU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62475" cy="2733675"/>
                <wp:effectExtent l="0" t="0" r="0" b="0"/>
                <wp:docPr id="1" name="Диаграмма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562475" cy="273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59.25pt;height:215.2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lang w:eastAsia="ru-RU"/>
        </w:rPr>
        <w:t xml:space="preserve">Рис. 1 Обращения граждан, поступившие в 2024 году в Минцифру НСО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2024 году непосредственно в министерство поступило 193 обращения гражданина и 168 через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общественную приёмную Губернатора Новосибирской области. Пик обращений граждан наблюдался в </w:t>
      </w:r>
      <w:r>
        <w:rPr>
          <w:rFonts w:ascii="Times New Roman" w:hAnsi="Times New Roman" w:eastAsia="Times New Roman"/>
          <w:sz w:val="28"/>
          <w:szCs w:val="28"/>
          <w:lang w:val="en-US" w:eastAsia="ru-RU"/>
        </w:rPr>
        <w:t xml:space="preserve">III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квартале – 111, в остальные отчётные периоды количество обращение было приблизительно одинаковое и колебалось от 82 до 85 обращений за квартал.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обращениях граждан, поступивших в 2024 году в министерство и через общественную приёмную Губернатора Новосибирской области, содержатся вопросы, относящиеся к следующим тематическим разделам: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телекоммуникация, связь, Интернет – 183 (50,7 % от общего колич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развитие электронного государства (ЕПГУ) – 57 (15,8 %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о работе Службы 112 –  24 (6,6 %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о вопросах сопровождения и развития сайтов – 19 (5,3 % от общего количества вопрос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ов);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- информационная безопасность - 12 (3,3%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от общего количества вопросов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о помощи в развитие ИТ-отрасли – 10 (2,8% от общего количества вопросов);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- искусственный интеллект - 5 (1,4%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общего количества вопросов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);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- Ка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рта жителя - 3 (0,8%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общего количества вопросов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другое – 19 (5,3 %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перенаправлено по компетенции – 29 (8 % от общего количества вопросов).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Структура и количество обращений, поступивших в адрес</w:t>
      </w:r>
    </w:p>
    <w:p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Минцифра НСО в 2024 г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оду, в сравнении с 2023 годом, 2022 годом и</w:t>
      </w:r>
    </w:p>
    <w:p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2021 годом</w:t>
      </w:r>
    </w:p>
    <w:p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43500" cy="3514725"/>
                <wp:effectExtent l="0" t="0" r="0" b="0"/>
                <wp:docPr id="2" name="Диаграмма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143500" cy="3514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05.00pt;height:276.7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>
      <w:pPr>
        <w:shd w:val="clear" w:color="auto" w:fill="ffffff"/>
        <w:spacing w:after="0" w:line="240" w:lineRule="auto"/>
        <w:ind w:firstLine="709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             Рис. 2 Обращения граждан, поступившие в 2021-2024 годах</w:t>
      </w:r>
    </w:p>
    <w:p>
      <w:pPr>
        <w:shd w:val="clear" w:color="auto" w:fill="ffffff"/>
        <w:spacing w:after="0" w:line="240" w:lineRule="auto"/>
        <w:ind w:firstLine="709"/>
        <w:rPr>
          <w:rFonts w:ascii="Times New Roman" w:hAnsi="Times New Roman" w:eastAsia="Times New Roman"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Проведен анализ обращений граждан, поступивших с 2021 года по 2024 год. В 2021 году поступило 264 обращений граждан, из них письменных обращений 228, устных обращений 31, проведено личных приемов - 5. В 2022 году поступило 298 обращений граждан, из них 260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письменных обращений, 34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у</w:t>
      </w:r>
      <w:bookmarkStart w:id="0" w:name="_GoBack"/>
      <w:bookmarkEnd w:id="0"/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стной форме и проведено 4 личных приема граждан. В 2023 году поступило 381 обращение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гражданина, из них 317 письменных обращений, 60 в устной форме и 4 личных приема. В 2024 году поступило 361 обращение гражданина, из них 320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письменном виде, 31 в устной форме и проведено 10 личных приемов.</w:t>
      </w:r>
    </w:p>
    <w:p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2024 году произошло незначительное снижение обращений граждан, в основном, снижение связано с уменьшением обращений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поступивших в устной форме.</w:t>
      </w:r>
      <w:r>
        <w:rPr>
          <w:rFonts w:ascii="Times New Roman" w:hAnsi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Благодаря активной разъяснительной работе,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включая публикацию материалов на сайте, социальных сетях, проведение информационных кампаний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других форм коммуникации через СМИ, помогло своевременно информировать граждан о важных изменениях, снижая число устных запросов.</w:t>
      </w:r>
    </w:p>
    <w:p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Результаты рассмотрения</w:t>
      </w:r>
    </w:p>
    <w:p>
      <w:pPr>
        <w:spacing w:after="0" w:line="240" w:lineRule="auto"/>
        <w:ind w:firstLine="708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опросы и запросы граждан в установленный законодательством срок были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даны ответы. 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firstLine="708"/>
        <w:jc w:val="both"/>
      </w:pPr>
      <w:r>
        <w:rPr>
          <w:rFonts w:ascii="Times New Roman" w:hAnsi="Times New Roman" w:eastAsia="Times New Roman"/>
          <w:color w:val="000000"/>
          <w:sz w:val="28"/>
        </w:rPr>
        <w:t xml:space="preserve"> Из них: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firstLine="708"/>
        <w:jc w:val="both"/>
      </w:pPr>
      <w:r>
        <w:rPr>
          <w:rFonts w:ascii="Times New Roman" w:hAnsi="Times New Roman" w:eastAsia="Times New Roman"/>
          <w:color w:val="000000"/>
          <w:sz w:val="28"/>
        </w:rPr>
        <w:t xml:space="preserve">-поддержано – 24; 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firstLine="708"/>
        <w:jc w:val="both"/>
      </w:pPr>
      <w:r>
        <w:rPr>
          <w:rFonts w:ascii="Times New Roman" w:hAnsi="Times New Roman" w:eastAsia="Times New Roman"/>
          <w:color w:val="000000"/>
          <w:sz w:val="28"/>
        </w:rPr>
        <w:t xml:space="preserve">-разъяснено – 299;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firstLine="708"/>
        <w:jc w:val="both"/>
      </w:pPr>
      <w:r>
        <w:rPr>
          <w:rFonts w:ascii="Times New Roman" w:hAnsi="Times New Roman" w:eastAsia="Times New Roman"/>
          <w:color w:val="000000"/>
          <w:sz w:val="28"/>
        </w:rPr>
        <w:t xml:space="preserve">- не поддержано – 1; 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firstLine="709"/>
        <w:jc w:val="both"/>
      </w:pPr>
      <w:r>
        <w:rPr>
          <w:rFonts w:ascii="Times New Roman" w:hAnsi="Times New Roman" w:eastAsia="Times New Roman"/>
          <w:color w:val="000000"/>
          <w:sz w:val="28"/>
        </w:rPr>
        <w:t xml:space="preserve">-перенаправлено по компетенции (поступило в министерство ошибочно) – 29;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/>
        <w:ind w:firstLine="709"/>
        <w:jc w:val="both"/>
      </w:pPr>
      <w:r>
        <w:rPr>
          <w:rFonts w:ascii="Times New Roman" w:hAnsi="Times New Roman" w:eastAsia="Times New Roman"/>
          <w:color w:val="000000"/>
          <w:sz w:val="28"/>
        </w:rPr>
        <w:t xml:space="preserve">- не обращения (обращения граждан без ФИО и обратного адреса или содержащие оскорбительные выражения) – 8.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Контроль за соблюдением порядка рассмотрения обращений</w:t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Организация работы с обращениями граждан в министерстве позволила в 2024 году обеспечить св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оевременное, объективное и всестороннее рассмотрение обращений граждан, своевременно принимать меры, направленные на восстановление или защиту нарушенных прав, свобод и законных интересов граждан. </w:t>
      </w:r>
    </w:p>
    <w:sectPr>
      <w:headerReference w:type="default" r:id="rId9"/>
      <w:pgSz w:w="11906" w:h="16838"/>
      <w:pgMar w:top="851" w:right="567" w:bottom="567" w:left="851" w:header="0" w:footer="0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b"/>
      <w:jc w:val="center"/>
      <w:rPr>
        <w:rFonts w:ascii="Times New Roman" w:hAnsi="Times New Roman"/>
        <w:sz w:val="16"/>
        <w:szCs w:val="16"/>
      </w:rPr>
    </w:pPr>
  </w:p>
  <w:p>
    <w:pPr>
      <w:pStyle w:val="a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2</w:t>
    </w:r>
    <w:r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44C0E4D6">
      <w:start w:val="1"/>
      <w:numFmt w:val="decimal"/>
      <w:lvlText w:val="%1."/>
      <w:lvlJc w:val="left"/>
      <w:pPr>
        <w:ind w:left="1068" w:hanging="360"/>
      </w:pPr>
    </w:lvl>
    <w:lvl w:ilvl="1" w:tplc="7CA68124">
      <w:start w:val="1"/>
      <w:numFmt w:val="lowerLetter"/>
      <w:lvlText w:val="%2."/>
      <w:lvlJc w:val="left"/>
      <w:pPr>
        <w:ind w:left="1788" w:hanging="360"/>
      </w:pPr>
    </w:lvl>
    <w:lvl w:ilvl="2" w:tplc="B5806410">
      <w:start w:val="1"/>
      <w:numFmt w:val="lowerRoman"/>
      <w:lvlText w:val="%3."/>
      <w:lvlJc w:val="right"/>
      <w:pPr>
        <w:ind w:left="2508" w:hanging="180"/>
      </w:pPr>
    </w:lvl>
    <w:lvl w:ilvl="3" w:tplc="15EE8EFE">
      <w:start w:val="1"/>
      <w:numFmt w:val="decimal"/>
      <w:lvlText w:val="%4."/>
      <w:lvlJc w:val="left"/>
      <w:pPr>
        <w:ind w:left="3228" w:hanging="360"/>
      </w:pPr>
    </w:lvl>
    <w:lvl w:ilvl="4" w:tplc="2884A5D0">
      <w:start w:val="1"/>
      <w:numFmt w:val="lowerLetter"/>
      <w:lvlText w:val="%5."/>
      <w:lvlJc w:val="left"/>
      <w:pPr>
        <w:ind w:left="3948" w:hanging="360"/>
      </w:pPr>
    </w:lvl>
    <w:lvl w:ilvl="5" w:tplc="C3AADF10">
      <w:start w:val="1"/>
      <w:numFmt w:val="lowerRoman"/>
      <w:lvlText w:val="%6."/>
      <w:lvlJc w:val="right"/>
      <w:pPr>
        <w:ind w:left="4668" w:hanging="180"/>
      </w:pPr>
    </w:lvl>
    <w:lvl w:ilvl="6" w:tplc="21E6B866">
      <w:start w:val="1"/>
      <w:numFmt w:val="decimal"/>
      <w:lvlText w:val="%7."/>
      <w:lvlJc w:val="left"/>
      <w:pPr>
        <w:ind w:left="5388" w:hanging="360"/>
      </w:pPr>
    </w:lvl>
    <w:lvl w:ilvl="7" w:tplc="9B90902E">
      <w:start w:val="1"/>
      <w:numFmt w:val="lowerLetter"/>
      <w:lvlText w:val="%8."/>
      <w:lvlJc w:val="left"/>
      <w:pPr>
        <w:ind w:left="6108" w:hanging="360"/>
      </w:pPr>
    </w:lvl>
    <w:lvl w:ilvl="8" w:tplc="CACA33A2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 w:tplc="73F8593E">
      <w:start w:val="1"/>
      <w:numFmt w:val="decimal"/>
      <w:lvlText w:val="%1."/>
      <w:lvlJc w:val="left"/>
      <w:pPr>
        <w:ind w:left="1069" w:hanging="360"/>
      </w:pPr>
    </w:lvl>
    <w:lvl w:ilvl="1" w:tplc="11DEE3B6">
      <w:start w:val="1"/>
      <w:numFmt w:val="lowerLetter"/>
      <w:lvlText w:val="%2."/>
      <w:lvlJc w:val="left"/>
      <w:pPr>
        <w:ind w:left="1789" w:hanging="360"/>
      </w:pPr>
    </w:lvl>
    <w:lvl w:ilvl="2" w:tplc="3F18F63C">
      <w:start w:val="1"/>
      <w:numFmt w:val="lowerRoman"/>
      <w:lvlText w:val="%3."/>
      <w:lvlJc w:val="right"/>
      <w:pPr>
        <w:ind w:left="2509" w:hanging="180"/>
      </w:pPr>
    </w:lvl>
    <w:lvl w:ilvl="3" w:tplc="1E82B6AE">
      <w:start w:val="1"/>
      <w:numFmt w:val="decimal"/>
      <w:lvlText w:val="%4."/>
      <w:lvlJc w:val="left"/>
      <w:pPr>
        <w:ind w:left="3229" w:hanging="360"/>
      </w:pPr>
    </w:lvl>
    <w:lvl w:ilvl="4" w:tplc="DFB4A470">
      <w:start w:val="1"/>
      <w:numFmt w:val="lowerLetter"/>
      <w:lvlText w:val="%5."/>
      <w:lvlJc w:val="left"/>
      <w:pPr>
        <w:ind w:left="3949" w:hanging="360"/>
      </w:pPr>
    </w:lvl>
    <w:lvl w:ilvl="5" w:tplc="E626038A">
      <w:start w:val="1"/>
      <w:numFmt w:val="lowerRoman"/>
      <w:lvlText w:val="%6."/>
      <w:lvlJc w:val="right"/>
      <w:pPr>
        <w:ind w:left="4669" w:hanging="180"/>
      </w:pPr>
    </w:lvl>
    <w:lvl w:ilvl="6" w:tplc="12C43D2E">
      <w:start w:val="1"/>
      <w:numFmt w:val="decimal"/>
      <w:lvlText w:val="%7."/>
      <w:lvlJc w:val="left"/>
      <w:pPr>
        <w:ind w:left="5389" w:hanging="360"/>
      </w:pPr>
    </w:lvl>
    <w:lvl w:ilvl="7" w:tplc="5672BF66">
      <w:start w:val="1"/>
      <w:numFmt w:val="lowerLetter"/>
      <w:lvlText w:val="%8."/>
      <w:lvlJc w:val="left"/>
      <w:pPr>
        <w:ind w:left="6109" w:hanging="360"/>
      </w:pPr>
    </w:lvl>
    <w:lvl w:ilvl="8" w:tplc="288CCE3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 w:tplc="CEF2A198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E0C6CF2E">
      <w:start w:val="1"/>
      <w:numFmt w:val="lowerLetter"/>
      <w:lvlText w:val="%2."/>
      <w:lvlJc w:val="left"/>
      <w:pPr>
        <w:ind w:left="1298" w:hanging="360"/>
      </w:pPr>
    </w:lvl>
    <w:lvl w:ilvl="2" w:tplc="AC8E4A38">
      <w:start w:val="1"/>
      <w:numFmt w:val="lowerRoman"/>
      <w:lvlText w:val="%3."/>
      <w:lvlJc w:val="right"/>
      <w:pPr>
        <w:ind w:left="2018" w:hanging="180"/>
      </w:pPr>
    </w:lvl>
    <w:lvl w:ilvl="3" w:tplc="AEC441EA">
      <w:start w:val="1"/>
      <w:numFmt w:val="decimal"/>
      <w:lvlText w:val="%4."/>
      <w:lvlJc w:val="left"/>
      <w:pPr>
        <w:ind w:left="2738" w:hanging="360"/>
      </w:pPr>
    </w:lvl>
    <w:lvl w:ilvl="4" w:tplc="0EFA0CC4">
      <w:start w:val="1"/>
      <w:numFmt w:val="lowerLetter"/>
      <w:lvlText w:val="%5."/>
      <w:lvlJc w:val="left"/>
      <w:pPr>
        <w:ind w:left="3458" w:hanging="360"/>
      </w:pPr>
    </w:lvl>
    <w:lvl w:ilvl="5" w:tplc="3786965E">
      <w:start w:val="1"/>
      <w:numFmt w:val="lowerRoman"/>
      <w:lvlText w:val="%6."/>
      <w:lvlJc w:val="right"/>
      <w:pPr>
        <w:ind w:left="4178" w:hanging="180"/>
      </w:pPr>
    </w:lvl>
    <w:lvl w:ilvl="6" w:tplc="07F0DB74">
      <w:start w:val="1"/>
      <w:numFmt w:val="decimal"/>
      <w:lvlText w:val="%7."/>
      <w:lvlJc w:val="left"/>
      <w:pPr>
        <w:ind w:left="4898" w:hanging="360"/>
      </w:pPr>
    </w:lvl>
    <w:lvl w:ilvl="7" w:tplc="8FC87C60">
      <w:start w:val="1"/>
      <w:numFmt w:val="lowerLetter"/>
      <w:lvlText w:val="%8."/>
      <w:lvlJc w:val="left"/>
      <w:pPr>
        <w:ind w:left="5618" w:hanging="360"/>
      </w:pPr>
    </w:lvl>
    <w:lvl w:ilvl="8" w:tplc="E0E8DC68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multiLevelType w:val="hybridMultilevel"/>
    <w:lvl w:ilvl="0" w:tplc="48AAF16E">
      <w:start w:val="1"/>
      <w:numFmt w:val="bullet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 w:tplc="D0DC1FDE">
      <w:start w:val="1"/>
      <w:numFmt w:val="bullet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 w:tplc="C84A7C08">
      <w:start w:val="1"/>
      <w:numFmt w:val="bullet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 w:tplc="A1AAA402">
      <w:start w:val="1"/>
      <w:numFmt w:val="bullet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 w:tplc="7820C194">
      <w:start w:val="1"/>
      <w:numFmt w:val="bullet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 w:tplc="D11495EC">
      <w:start w:val="1"/>
      <w:numFmt w:val="bullet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 w:tplc="F59C1AE0">
      <w:start w:val="1"/>
      <w:numFmt w:val="bullet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 w:tplc="77BA8CEA">
      <w:start w:val="1"/>
      <w:numFmt w:val="bullet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 w:tplc="983E2816">
      <w:start w:val="1"/>
      <w:numFmt w:val="bullet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uiPriority w:val="9"/>
    <w:rPr>
      <w:rFonts w:ascii="Arial" w:hAnsi="Arial" w:eastAsia="Arial" w:cs="Arial"/>
      <w:sz w:val="40"/>
      <w:szCs w:val="40"/>
    </w:rPr>
  </w:style>
  <w:style w:type="character" w:styleId="20" w:customStyle="1">
    <w:name w:val="Заголовок 2 Знак"/>
    <w:link w:val="2"/>
    <w:uiPriority w:val="9"/>
    <w:rPr>
      <w:rFonts w:ascii="Arial" w:hAnsi="Arial" w:eastAsia="Arial" w:cs="Arial"/>
      <w:sz w:val="34"/>
    </w:rPr>
  </w:style>
  <w:style w:type="character" w:styleId="30" w:customStyle="1">
    <w:name w:val="Заголовок 3 Знак"/>
    <w:link w:val="3"/>
    <w:uiPriority w:val="9"/>
    <w:rPr>
      <w:rFonts w:ascii="Arial" w:hAnsi="Arial" w:eastAsia="Arial" w:cs="Arial"/>
      <w:sz w:val="30"/>
      <w:szCs w:val="30"/>
    </w:rPr>
  </w:style>
  <w:style w:type="character" w:styleId="40" w:customStyle="1">
    <w:name w:val="Заголовок 4 Знак"/>
    <w:link w:val="4"/>
    <w:uiPriority w:val="9"/>
    <w:rPr>
      <w:rFonts w:ascii="Arial" w:hAnsi="Arial" w:eastAsia="Arial" w:cs="Arial"/>
      <w:b/>
      <w:bCs/>
      <w:sz w:val="26"/>
      <w:szCs w:val="26"/>
    </w:rPr>
  </w:style>
  <w:style w:type="character" w:styleId="50" w:customStyle="1">
    <w:name w:val="Заголовок 5 Знак"/>
    <w:link w:val="5"/>
    <w:uiPriority w:val="9"/>
    <w:rPr>
      <w:rFonts w:ascii="Arial" w:hAnsi="Arial" w:eastAsia="Arial" w:cs="Arial"/>
      <w:b/>
      <w:bCs/>
      <w:sz w:val="24"/>
      <w:szCs w:val="24"/>
    </w:rPr>
  </w:style>
  <w:style w:type="character" w:styleId="60" w:customStyle="1">
    <w:name w:val="Заголовок 6 Знак"/>
    <w:link w:val="6"/>
    <w:uiPriority w:val="9"/>
    <w:rPr>
      <w:rFonts w:ascii="Arial" w:hAnsi="Arial" w:eastAsia="Arial" w:cs="Arial"/>
      <w:b/>
      <w:bCs/>
      <w:sz w:val="22"/>
      <w:szCs w:val="22"/>
    </w:rPr>
  </w:style>
  <w:style w:type="character" w:styleId="70" w:customStyle="1">
    <w:name w:val="Заголовок 7 Знак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" w:customStyle="1">
    <w:name w:val="Заголовок 8 Знак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link w:val="9"/>
    <w:uiPriority w:val="9"/>
    <w:rPr>
      <w:rFonts w:ascii="Arial" w:hAnsi="Arial" w:eastAsia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styleId="a6" w:customStyle="1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styleId="a8" w:customStyle="1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a" w:customStyle="1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styleId="HeaderChar" w:customStyle="1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styleId="FooterChar" w:customStyle="1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CaptionChar" w:customStyle="1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TableGridLight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1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2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3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4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5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6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1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2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3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4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5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6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1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2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3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4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5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6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1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2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3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4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5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6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1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2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3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4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5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6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1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2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3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4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5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6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1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2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3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4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5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6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styleId="af3" w:customStyle="1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styleId="af6" w:customStyle="1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b" w:customStyle="1">
    <w:name w:val="Текст выноски Знак"/>
    <w:link w:val="afa"/>
    <w:uiPriority w:val="99"/>
    <w:semiHidden/>
    <w:rPr>
      <w:rFonts w:ascii="Tahoma" w:hAnsi="Tahoma" w:eastAsia="Calibri" w:cs="Tahoma"/>
      <w:sz w:val="16"/>
      <w:szCs w:val="16"/>
    </w:rPr>
  </w:style>
  <w:style w:type="paragraph" w:styleId="Style2" w:customStyle="1">
    <w:name w:val="Style2"/>
    <w:basedOn w:val="a"/>
    <w:uiPriority w:val="99"/>
    <w:pPr>
      <w:widowControl w:val="off"/>
      <w:spacing w:after="0" w:line="323" w:lineRule="exact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FontStyle27" w:customStyle="1">
    <w:name w:val="Font Style27"/>
    <w:uiPriority w:val="99"/>
    <w:rPr>
      <w:rFonts w:ascii="Times New Roman" w:hAnsi="Times New Roman" w:cs="Times New Roman"/>
      <w:sz w:val="24"/>
    </w:rPr>
  </w:style>
  <w:style w:type="character" w:styleId="FontStyle29" w:customStyle="1">
    <w:name w:val="Font Style29"/>
    <w:rPr>
      <w:rFonts w:ascii="Times New Roman" w:hAnsi="Times New Roman" w:cs="Times New Roman"/>
      <w:sz w:val="26"/>
      <w:szCs w:val="26"/>
    </w:rPr>
  </w:style>
  <w:style w:type="character" w:styleId="afc">
    <w:name w:val="Strong"/>
    <w:uiPriority w:val="22"/>
    <w:qFormat/>
    <w:rPr>
      <w:b/>
      <w:bCs/>
    </w:rPr>
  </w:style>
  <w:style w:type="character" w:styleId="214pt" w:customStyle="1">
    <w:name w:val="Основной текст (2) + 14 pt"/>
    <w:rPr>
      <w:rFonts w:ascii="Times New Roman" w:hAnsi="Times New Roman" w:eastAsia="Times New Roman" w:cs="Times New Roman"/>
      <w:color w:val="000000"/>
      <w:spacing w:val="0"/>
      <w:position w:val="0"/>
      <w:sz w:val="28"/>
      <w:szCs w:val="28"/>
      <w:shd w:val="clear" w:color="auto" w:fill="ffffff"/>
      <w:lang w:val="ru-RU" w:eastAsia="ru-RU" w:bidi="ru-RU"/>
    </w:rPr>
  </w:style>
  <w:style w:type="character" w:styleId="25" w:customStyle="1">
    <w:name w:val="Основной текст (2)_"/>
    <w:link w:val="26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26" w:customStyle="1">
    <w:name w:val="Основной текст (2)"/>
    <w:basedOn w:val="a"/>
    <w:link w:val="25"/>
    <w:pPr>
      <w:widowControl w:val="off"/>
      <w:shd w:val="clear" w:color="auto" w:fill="ffffff"/>
      <w:spacing w:after="420" w:line="0" w:lineRule="atLeast"/>
      <w:jc w:val="center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ac" w:customStyle="1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styleId="ae" w:customStyle="1">
    <w:name w:val="Нижний колонтитул Знак"/>
    <w:link w:val="ad"/>
    <w:uiPriority w:val="99"/>
    <w:rPr>
      <w:sz w:val="22"/>
      <w:szCs w:val="22"/>
      <w:lang w:eastAsia="en-US"/>
    </w:rPr>
  </w:style>
  <w:style w:type="character" w:styleId="FontStyle25" w:customStyle="1">
    <w:name w:val="Font Style25"/>
    <w:uiPriority w:val="9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3918</Characters>
  <CharactersWithSpaces>4596</CharactersWithSpaces>
  <Company>АГНОиПНО</Company>
  <DocSecurity>0</DocSecurity>
  <HyperlinksChanged>false</HyperlinksChanged>
  <Lines>32</Lines>
  <LinksUpToDate>false</LinksUpToDate>
  <Pages>3</Pages>
  <Paragraphs>9</Paragraphs>
  <ScaleCrop>false</ScaleCrop>
  <SharedDoc>false</SharedDoc>
  <Template>Normal</Template>
  <TotalTime>1</TotalTime>
  <Words>687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Шароглазова Ольга Сергеевна</dc:creator>
  <cp:lastModifiedBy>Тарасова Анна Геннадьевна</cp:lastModifiedBy>
  <cp:revision>54</cp:revision>
  <dcterms:created xsi:type="dcterms:W3CDTF">2022-08-10T05:50:00Z</dcterms:created>
  <dcterms:modified xsi:type="dcterms:W3CDTF">2025-02-14T06:56:00Z</dcterms:modified>
  <cp:version>1048576</cp:version>
</cp:coreProperties>
</file>