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/>
      </w:pPr>
    </w:p>
    <w:tbl>
      <w:tblPr>
        <w:tblW w:w="15708" w:type="dxa"/>
        <w:tblInd w:w="1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77"/>
        <w:gridCol w:w="7831"/>
      </w:tblGrid>
      <w:tr>
        <w:tc>
          <w:tcPr>
            <w:tcW w:w="15708" w:type="dxa"/>
            <w:gridSpan w:val="2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18"/>
              </w:rPr>
              <w:t xml:space="preserve">П А С П О Р Т</w:t>
            </w:r>
          </w:p>
        </w:tc>
      </w:tr>
      <w:tr>
        <w:tc>
          <w:tcPr>
            <w:tcW w:w="15708" w:type="dxa"/>
            <w:gridSpan w:val="2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18"/>
              </w:rPr>
              <w:t xml:space="preserve">государственной программы</w:t>
            </w:r>
          </w:p>
        </w:tc>
      </w:tr>
      <w:tr>
        <w:tc>
          <w:tcPr>
            <w:tcW w:w="15708" w:type="dxa"/>
            <w:gridSpan w:val="2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18"/>
              </w:rPr>
              <w:t xml:space="preserve">«Построение и развитие аппаратно-программного комплекса "Безопасный город" в Новосибирской области »</w:t>
            </w:r>
          </w:p>
        </w:tc>
      </w:tr>
      <w:tr>
        <w:tc>
          <w:tcPr>
            <w:tcW w:w="15708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</w:p>
        </w:tc>
        <w:tc>
          <w:tcPr>
            <w:tcW w:w="15692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</w:p>
        </w:tc>
      </w:tr>
      <w:tr>
        <w:tc>
          <w:tcPr>
            <w:tcW w:w="15708" w:type="dxa"/>
            <w:gridSpan w:val="2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18"/>
              </w:rPr>
              <w:t xml:space="preserve">1. Основные положения</w:t>
            </w:r>
          </w:p>
        </w:tc>
      </w:tr>
      <w:tr>
        <w:tc>
          <w:tcPr>
            <w:tcW w:w="15708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</w:p>
        </w:tc>
        <w:tc>
          <w:tcPr>
            <w:tcW w:w="15692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</w:p>
        </w:tc>
      </w:tr>
      <w:tr>
        <w:tc>
          <w:tcPr>
            <w:tcW w:w="15708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Куратор государственной программы</w:t>
            </w:r>
          </w:p>
        </w:tc>
        <w:tc>
          <w:tcPr>
            <w:tcW w:w="15692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Петухов Юрий Федорович</w:t>
            </w:r>
          </w:p>
        </w:tc>
      </w:tr>
      <w:tr>
        <w:tc>
          <w:tcPr>
            <w:tcW w:w="15708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Ответственный исполнитель государственной программы</w:t>
            </w:r>
          </w:p>
        </w:tc>
        <w:tc>
          <w:tcPr>
            <w:tcW w:w="15692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Цукарь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 Сергей Сергеевич</w:t>
            </w:r>
          </w:p>
        </w:tc>
      </w:tr>
      <w:tr>
        <w:tc>
          <w:tcPr>
            <w:tcW w:w="15708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</w:tcPr>
          <w:p>
            <w:pPr>
              <w:spacing w:after="0"/>
              <w:ind w:left="55" w:right="55"/>
            </w:pPr>
          </w:p>
        </w:tc>
        <w:tc>
          <w:tcPr>
            <w:tcW w:w="15692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</w:tcPr>
          <w:p>
            <w:pPr>
              <w:spacing w:after="0"/>
              <w:ind w:left="55" w:right="55"/>
            </w:pPr>
          </w:p>
        </w:tc>
      </w:tr>
      <w:tr>
        <w:tc>
          <w:tcPr>
            <w:tcW w:w="15708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Период реализации государственной программы</w:t>
            </w:r>
          </w:p>
        </w:tc>
        <w:tc>
          <w:tcPr>
            <w:tcW w:w="15692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Этап I: 2016 - 2023</w:t>
            </w:r>
          </w:p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Этап II: 2024 - 2030</w:t>
            </w:r>
          </w:p>
        </w:tc>
      </w:tr>
      <w:tr>
        <w:tc>
          <w:tcPr>
            <w:tcW w:w="15708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Цели государственной программы</w:t>
            </w:r>
          </w:p>
        </w:tc>
        <w:tc>
          <w:tcPr>
            <w:tcW w:w="15692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Цель 1 "Обеспечение оперативного реагирования и взаимодействия всех служб, ответственных за обеспечение безопасности"</w:t>
            </w:r>
          </w:p>
        </w:tc>
      </w:tr>
      <w:tr>
        <w:tc>
          <w:tcPr>
            <w:tcW w:w="15708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Направления (подпрограммы) государственной программы</w:t>
            </w:r>
          </w:p>
        </w:tc>
        <w:tc>
          <w:tcPr>
            <w:tcW w:w="15692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Направление (подпрограмма) 1 "Создание единой цифровой среды в сфере обеспечения безопасности"</w:t>
            </w:r>
          </w:p>
        </w:tc>
      </w:tr>
      <w:tr>
        <w:tc>
          <w:tcPr>
            <w:tcW w:w="15708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Объемы финансового обеспечения за весь период реализации</w:t>
            </w:r>
          </w:p>
        </w:tc>
        <w:tc>
          <w:tcPr>
            <w:tcW w:w="15692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12 002 490,83 тыс. рублей</w:t>
            </w:r>
          </w:p>
        </w:tc>
      </w:tr>
      <w:tr>
        <w:tc>
          <w:tcPr>
            <w:tcW w:w="15708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Связь с национальными целями развития Российской Федерации/ государственной программой Российской Федерации</w:t>
            </w:r>
          </w:p>
        </w:tc>
        <w:tc>
          <w:tcPr>
            <w:tcW w:w="15692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</w:p>
        </w:tc>
      </w:tr>
      <w:tr>
        <w:tc>
          <w:tcPr>
            <w:tcW w:w="15708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</w:pPr>
          </w:p>
        </w:tc>
        <w:tc>
          <w:tcPr>
            <w:tcW w:w="15692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</w:pPr>
          </w:p>
        </w:tc>
      </w:tr>
    </w:tbl>
    <w:p>
      <w:pPr>
        <w:spacing w:after="0"/>
      </w:pPr>
    </w:p>
    <w:tbl>
      <w:tblPr>
        <w:tblW w:w="15708" w:type="dxa"/>
        <w:tblInd w:w="1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3"/>
        <w:gridCol w:w="2355"/>
        <w:gridCol w:w="966"/>
        <w:gridCol w:w="1110"/>
        <w:gridCol w:w="937"/>
        <w:gridCol w:w="821"/>
        <w:gridCol w:w="574"/>
        <w:gridCol w:w="603"/>
        <w:gridCol w:w="603"/>
        <w:gridCol w:w="603"/>
        <w:gridCol w:w="603"/>
        <w:gridCol w:w="603"/>
        <w:gridCol w:w="603"/>
        <w:gridCol w:w="603"/>
        <w:gridCol w:w="1209"/>
        <w:gridCol w:w="1724"/>
        <w:gridCol w:w="1378"/>
      </w:tblGrid>
      <w:tr>
        <w:tc>
          <w:tcPr>
            <w:tcW w:w="15708" w:type="dxa"/>
            <w:gridSpan w:val="17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18"/>
              </w:rPr>
              <w:t xml:space="preserve">2. Показатели государственной программы</w:t>
            </w:r>
          </w:p>
        </w:tc>
      </w:tr>
      <w:tr>
        <w:tc>
          <w:tcPr>
            <w:tcW w:w="413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</w:p>
        </w:tc>
        <w:tc>
          <w:tcPr>
            <w:tcW w:w="2355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</w:p>
        </w:tc>
        <w:tc>
          <w:tcPr>
            <w:tcW w:w="966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</w:p>
        </w:tc>
        <w:tc>
          <w:tcPr>
            <w:tcW w:w="1110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</w:p>
        </w:tc>
        <w:tc>
          <w:tcPr>
            <w:tcW w:w="937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</w:pPr>
          </w:p>
        </w:tc>
        <w:tc>
          <w:tcPr>
            <w:tcW w:w="821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</w:pPr>
          </w:p>
        </w:tc>
        <w:tc>
          <w:tcPr>
            <w:tcW w:w="574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</w:pPr>
          </w:p>
        </w:tc>
        <w:tc>
          <w:tcPr>
            <w:tcW w:w="4221" w:type="dxa"/>
            <w:gridSpan w:val="7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</w:pPr>
          </w:p>
        </w:tc>
        <w:tc>
          <w:tcPr>
            <w:tcW w:w="1209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</w:pPr>
          </w:p>
        </w:tc>
        <w:tc>
          <w:tcPr>
            <w:tcW w:w="1724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</w:pPr>
          </w:p>
        </w:tc>
        <w:tc>
          <w:tcPr>
            <w:tcW w:w="1378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</w:pPr>
          </w:p>
        </w:tc>
      </w:tr>
      <w:tr>
        <w:tc>
          <w:tcPr>
            <w:tcW w:w="413" w:type="dxa"/>
            <w:vMerge w:val="restart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№ п/п</w:t>
            </w:r>
          </w:p>
        </w:tc>
        <w:tc>
          <w:tcPr>
            <w:tcW w:w="2355" w:type="dxa"/>
            <w:vMerge w:val="restart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Наименование показателя</w:t>
            </w:r>
          </w:p>
        </w:tc>
        <w:tc>
          <w:tcPr>
            <w:tcW w:w="966" w:type="dxa"/>
            <w:vMerge w:val="restart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Уровень показателя</w:t>
            </w:r>
          </w:p>
        </w:tc>
        <w:tc>
          <w:tcPr>
            <w:tcW w:w="1110" w:type="dxa"/>
            <w:vMerge w:val="restart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Признак возрастания/ убывания</w:t>
            </w:r>
          </w:p>
        </w:tc>
        <w:tc>
          <w:tcPr>
            <w:tcW w:w="937" w:type="dxa"/>
            <w:vMerge w:val="restart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Единица измерения</w:t>
            </w:r>
          </w:p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(по ОКЕИ)</w:t>
            </w:r>
          </w:p>
        </w:tc>
        <w:tc>
          <w:tcPr>
            <w:tcW w:w="1395" w:type="dxa"/>
            <w:gridSpan w:val="2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Базовое значение</w:t>
            </w:r>
          </w:p>
        </w:tc>
        <w:tc>
          <w:tcPr>
            <w:tcW w:w="4221" w:type="dxa"/>
            <w:gridSpan w:val="7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Значение показателя по годам</w:t>
            </w:r>
          </w:p>
        </w:tc>
        <w:tc>
          <w:tcPr>
            <w:tcW w:w="1209" w:type="dxa"/>
            <w:vMerge w:val="restart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Документ</w:t>
            </w:r>
          </w:p>
        </w:tc>
        <w:tc>
          <w:tcPr>
            <w:tcW w:w="1724" w:type="dxa"/>
            <w:vMerge w:val="restart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Ответственный за достижение показателя</w:t>
            </w:r>
          </w:p>
        </w:tc>
        <w:tc>
          <w:tcPr>
            <w:tcW w:w="1378" w:type="dxa"/>
            <w:vMerge w:val="restart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Связь с показателями национальных целей</w:t>
            </w:r>
          </w:p>
        </w:tc>
      </w:tr>
      <w:tr>
        <w:tc>
          <w:tcPr>
            <w:tcW w:w="413" w:type="dxa"/>
            <w:vMerge w:val="continue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</w:p>
        </w:tc>
        <w:tc>
          <w:tcPr>
            <w:tcW w:w="2355" w:type="dxa"/>
            <w:vMerge w:val="continue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</w:p>
        </w:tc>
        <w:tc>
          <w:tcPr>
            <w:tcW w:w="966" w:type="dxa"/>
            <w:vMerge w:val="continue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</w:p>
        </w:tc>
        <w:tc>
          <w:tcPr>
            <w:tcW w:w="1110" w:type="dxa"/>
            <w:vMerge w:val="continue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</w:p>
        </w:tc>
        <w:tc>
          <w:tcPr>
            <w:tcW w:w="937" w:type="dxa"/>
            <w:vMerge w:val="continue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</w:p>
        </w:tc>
        <w:tc>
          <w:tcPr>
            <w:tcW w:w="821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значение</w:t>
            </w:r>
          </w:p>
        </w:tc>
        <w:tc>
          <w:tcPr>
            <w:tcW w:w="574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год</w:t>
            </w:r>
          </w:p>
        </w:tc>
        <w:tc>
          <w:tcPr>
            <w:tcW w:w="60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2024</w:t>
            </w:r>
          </w:p>
        </w:tc>
        <w:tc>
          <w:tcPr>
            <w:tcW w:w="60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2025</w:t>
            </w:r>
          </w:p>
        </w:tc>
        <w:tc>
          <w:tcPr>
            <w:tcW w:w="60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2026</w:t>
            </w:r>
          </w:p>
        </w:tc>
        <w:tc>
          <w:tcPr>
            <w:tcW w:w="60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2027</w:t>
            </w:r>
          </w:p>
        </w:tc>
        <w:tc>
          <w:tcPr>
            <w:tcW w:w="60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2028</w:t>
            </w:r>
          </w:p>
        </w:tc>
        <w:tc>
          <w:tcPr>
            <w:tcW w:w="60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2029</w:t>
            </w:r>
          </w:p>
        </w:tc>
        <w:tc>
          <w:tcPr>
            <w:tcW w:w="60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2030</w:t>
            </w:r>
          </w:p>
        </w:tc>
        <w:tc>
          <w:tcPr>
            <w:tcW w:w="1209" w:type="dxa"/>
            <w:vMerge w:val="continue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</w:p>
        </w:tc>
        <w:tc>
          <w:tcPr>
            <w:tcW w:w="1724" w:type="dxa"/>
            <w:vMerge w:val="continue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</w:p>
        </w:tc>
        <w:tc>
          <w:tcPr>
            <w:tcW w:w="1378" w:type="dxa"/>
            <w:vMerge w:val="continue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</w:p>
        </w:tc>
      </w:tr>
      <w:tr>
        <w:tc>
          <w:tcPr>
            <w:tcW w:w="41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</w:t>
            </w:r>
          </w:p>
        </w:tc>
        <w:tc>
          <w:tcPr>
            <w:tcW w:w="2355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2</w:t>
            </w:r>
          </w:p>
        </w:tc>
        <w:tc>
          <w:tcPr>
            <w:tcW w:w="96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3</w:t>
            </w:r>
          </w:p>
        </w:tc>
        <w:tc>
          <w:tcPr>
            <w:tcW w:w="1110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4</w:t>
            </w:r>
          </w:p>
        </w:tc>
        <w:tc>
          <w:tcPr>
            <w:tcW w:w="937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5</w:t>
            </w:r>
          </w:p>
        </w:tc>
        <w:tc>
          <w:tcPr>
            <w:tcW w:w="821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6</w:t>
            </w:r>
          </w:p>
        </w:tc>
        <w:tc>
          <w:tcPr>
            <w:tcW w:w="574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7</w:t>
            </w:r>
          </w:p>
        </w:tc>
        <w:tc>
          <w:tcPr>
            <w:tcW w:w="60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8</w:t>
            </w:r>
          </w:p>
        </w:tc>
        <w:tc>
          <w:tcPr>
            <w:tcW w:w="60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9</w:t>
            </w:r>
          </w:p>
        </w:tc>
        <w:tc>
          <w:tcPr>
            <w:tcW w:w="60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10</w:t>
            </w:r>
          </w:p>
        </w:tc>
        <w:tc>
          <w:tcPr>
            <w:tcW w:w="60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11</w:t>
            </w:r>
          </w:p>
        </w:tc>
        <w:tc>
          <w:tcPr>
            <w:tcW w:w="60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12</w:t>
            </w:r>
          </w:p>
        </w:tc>
        <w:tc>
          <w:tcPr>
            <w:tcW w:w="60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13</w:t>
            </w:r>
          </w:p>
        </w:tc>
        <w:tc>
          <w:tcPr>
            <w:tcW w:w="60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14</w:t>
            </w:r>
          </w:p>
        </w:tc>
        <w:tc>
          <w:tcPr>
            <w:tcW w:w="1209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15</w:t>
            </w:r>
          </w:p>
        </w:tc>
        <w:tc>
          <w:tcPr>
            <w:tcW w:w="1724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16</w:t>
            </w:r>
          </w:p>
        </w:tc>
        <w:tc>
          <w:tcPr>
            <w:tcW w:w="1378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17</w:t>
            </w:r>
          </w:p>
        </w:tc>
      </w:tr>
      <w:tr>
        <w:tc>
          <w:tcPr>
            <w:tcW w:w="15708" w:type="dxa"/>
            <w:gridSpan w:val="17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Цель государственной программы «Обеспечение оперативного реагирования и взаимодействия всех служб, ответственных за обеспечение безопасности»</w:t>
            </w:r>
          </w:p>
        </w:tc>
      </w:tr>
      <w:tr>
        <w:tc>
          <w:tcPr>
            <w:tcW w:w="41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1.</w:t>
            </w:r>
          </w:p>
        </w:tc>
        <w:tc>
          <w:tcPr>
            <w:tcW w:w="2355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Количество приобретенных (модернизированных) стационарных систем автоматического контроля и выявления нарушений правил дорожного движения на автомобильных дорогах общего пользования на территории Новосибирской области, в рамках РП «Общесистемные меры 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развития дорожного хозяйства (Новосибирская область)», ежегодно</w:t>
            </w:r>
          </w:p>
        </w:tc>
        <w:tc>
          <w:tcPr>
            <w:tcW w:w="96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ГП</w:t>
            </w:r>
          </w:p>
        </w:tc>
        <w:tc>
          <w:tcPr>
            <w:tcW w:w="1110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Возрастание</w:t>
            </w:r>
          </w:p>
        </w:tc>
        <w:tc>
          <w:tcPr>
            <w:tcW w:w="937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Единица</w:t>
            </w:r>
          </w:p>
        </w:tc>
        <w:tc>
          <w:tcPr>
            <w:tcW w:w="821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</w:t>
            </w:r>
          </w:p>
        </w:tc>
        <w:tc>
          <w:tcPr>
            <w:tcW w:w="574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2023</w:t>
            </w:r>
          </w:p>
        </w:tc>
        <w:tc>
          <w:tcPr>
            <w:tcW w:w="60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16</w:t>
            </w:r>
          </w:p>
        </w:tc>
        <w:tc>
          <w:tcPr>
            <w:tcW w:w="60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16</w:t>
            </w:r>
          </w:p>
        </w:tc>
        <w:tc>
          <w:tcPr>
            <w:tcW w:w="60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16</w:t>
            </w:r>
          </w:p>
        </w:tc>
        <w:tc>
          <w:tcPr>
            <w:tcW w:w="60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16</w:t>
            </w:r>
          </w:p>
        </w:tc>
        <w:tc>
          <w:tcPr>
            <w:tcW w:w="60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16</w:t>
            </w:r>
          </w:p>
        </w:tc>
        <w:tc>
          <w:tcPr>
            <w:tcW w:w="60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16</w:t>
            </w:r>
          </w:p>
        </w:tc>
        <w:tc>
          <w:tcPr>
            <w:tcW w:w="60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16</w:t>
            </w:r>
          </w:p>
        </w:tc>
        <w:tc>
          <w:tcPr>
            <w:tcW w:w="1209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</w:p>
        </w:tc>
        <w:tc>
          <w:tcPr>
            <w:tcW w:w="1724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МИНИСТЕРСТВО ТРАНСПОРТА И ДОРОЖНОГО ХОЗЯЙСТВА НОВОСИБИРСКОЙ ОБЛАСТИ</w:t>
            </w:r>
          </w:p>
        </w:tc>
        <w:tc>
          <w:tcPr>
            <w:tcW w:w="1378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</w:p>
        </w:tc>
      </w:tr>
      <w:tr>
        <w:tc>
          <w:tcPr>
            <w:tcW w:w="41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2.</w:t>
            </w:r>
          </w:p>
        </w:tc>
        <w:tc>
          <w:tcPr>
            <w:tcW w:w="2355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Среднее время комплексного реагирования экстренных оперативных служб на вызовы населения, поступающие по единому номеру «112» на территории Новосибирской области</w:t>
            </w:r>
          </w:p>
        </w:tc>
        <w:tc>
          <w:tcPr>
            <w:tcW w:w="96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ГП</w:t>
            </w:r>
          </w:p>
        </w:tc>
        <w:tc>
          <w:tcPr>
            <w:tcW w:w="1110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Убывание</w:t>
            </w:r>
          </w:p>
        </w:tc>
        <w:tc>
          <w:tcPr>
            <w:tcW w:w="937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Минута</w:t>
            </w:r>
          </w:p>
        </w:tc>
        <w:tc>
          <w:tcPr>
            <w:tcW w:w="821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40</w:t>
            </w:r>
          </w:p>
        </w:tc>
        <w:tc>
          <w:tcPr>
            <w:tcW w:w="574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2023</w:t>
            </w:r>
          </w:p>
        </w:tc>
        <w:tc>
          <w:tcPr>
            <w:tcW w:w="60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40</w:t>
            </w:r>
          </w:p>
        </w:tc>
        <w:tc>
          <w:tcPr>
            <w:tcW w:w="60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40</w:t>
            </w:r>
          </w:p>
        </w:tc>
        <w:tc>
          <w:tcPr>
            <w:tcW w:w="60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40</w:t>
            </w:r>
          </w:p>
        </w:tc>
        <w:tc>
          <w:tcPr>
            <w:tcW w:w="60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40</w:t>
            </w:r>
          </w:p>
        </w:tc>
        <w:tc>
          <w:tcPr>
            <w:tcW w:w="60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40</w:t>
            </w:r>
          </w:p>
        </w:tc>
        <w:tc>
          <w:tcPr>
            <w:tcW w:w="60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40</w:t>
            </w:r>
          </w:p>
        </w:tc>
        <w:tc>
          <w:tcPr>
            <w:tcW w:w="60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40</w:t>
            </w:r>
          </w:p>
        </w:tc>
        <w:tc>
          <w:tcPr>
            <w:tcW w:w="1209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</w:p>
        </w:tc>
        <w:tc>
          <w:tcPr>
            <w:tcW w:w="1724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МИНИСТЕРСТВО ЦИФРОВОГО РАЗВИТИЯ И СВЯЗИ НОВОСИБИРСКОЙ ОБЛАСТИ</w:t>
            </w:r>
          </w:p>
        </w:tc>
        <w:tc>
          <w:tcPr>
            <w:tcW w:w="1378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</w:p>
        </w:tc>
      </w:tr>
      <w:tr>
        <w:tc>
          <w:tcPr>
            <w:tcW w:w="41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3.</w:t>
            </w:r>
          </w:p>
        </w:tc>
        <w:tc>
          <w:tcPr>
            <w:tcW w:w="2355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Количество государственных учреждений Новосибирской области, деятельность которых обеспечена</w:t>
            </w:r>
          </w:p>
        </w:tc>
        <w:tc>
          <w:tcPr>
            <w:tcW w:w="96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ГП</w:t>
            </w:r>
          </w:p>
        </w:tc>
        <w:tc>
          <w:tcPr>
            <w:tcW w:w="1110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Возрастание</w:t>
            </w:r>
          </w:p>
        </w:tc>
        <w:tc>
          <w:tcPr>
            <w:tcW w:w="937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Единица</w:t>
            </w:r>
          </w:p>
        </w:tc>
        <w:tc>
          <w:tcPr>
            <w:tcW w:w="821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2</w:t>
            </w:r>
          </w:p>
        </w:tc>
        <w:tc>
          <w:tcPr>
            <w:tcW w:w="574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2023</w:t>
            </w:r>
          </w:p>
        </w:tc>
        <w:tc>
          <w:tcPr>
            <w:tcW w:w="60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2</w:t>
            </w:r>
          </w:p>
        </w:tc>
        <w:tc>
          <w:tcPr>
            <w:tcW w:w="60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2</w:t>
            </w:r>
          </w:p>
        </w:tc>
        <w:tc>
          <w:tcPr>
            <w:tcW w:w="60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2</w:t>
            </w:r>
          </w:p>
        </w:tc>
        <w:tc>
          <w:tcPr>
            <w:tcW w:w="60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2</w:t>
            </w:r>
          </w:p>
        </w:tc>
        <w:tc>
          <w:tcPr>
            <w:tcW w:w="60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2</w:t>
            </w:r>
          </w:p>
        </w:tc>
        <w:tc>
          <w:tcPr>
            <w:tcW w:w="60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2</w:t>
            </w:r>
          </w:p>
        </w:tc>
        <w:tc>
          <w:tcPr>
            <w:tcW w:w="60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2</w:t>
            </w:r>
          </w:p>
        </w:tc>
        <w:tc>
          <w:tcPr>
            <w:tcW w:w="1209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</w:p>
        </w:tc>
        <w:tc>
          <w:tcPr>
            <w:tcW w:w="1724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МИНИСТЕРСТВО ЦИФРОВОГО РАЗВИТИЯ И СВЯЗИ НОВОСИБИРСКОЙ ОБЛАСТИ</w:t>
            </w:r>
          </w:p>
        </w:tc>
        <w:tc>
          <w:tcPr>
            <w:tcW w:w="1378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</w:p>
        </w:tc>
      </w:tr>
      <w:tr>
        <w:tc>
          <w:tcPr>
            <w:tcW w:w="41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4.</w:t>
            </w:r>
          </w:p>
        </w:tc>
        <w:tc>
          <w:tcPr>
            <w:tcW w:w="2355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Новосибирской области</w:t>
            </w:r>
          </w:p>
        </w:tc>
        <w:tc>
          <w:tcPr>
            <w:tcW w:w="96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ГП</w:t>
            </w:r>
          </w:p>
        </w:tc>
        <w:tc>
          <w:tcPr>
            <w:tcW w:w="1110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Возрастание</w:t>
            </w:r>
          </w:p>
        </w:tc>
        <w:tc>
          <w:tcPr>
            <w:tcW w:w="937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Процент</w:t>
            </w:r>
          </w:p>
        </w:tc>
        <w:tc>
          <w:tcPr>
            <w:tcW w:w="821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73,3</w:t>
            </w:r>
          </w:p>
        </w:tc>
        <w:tc>
          <w:tcPr>
            <w:tcW w:w="574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2023</w:t>
            </w:r>
          </w:p>
        </w:tc>
        <w:tc>
          <w:tcPr>
            <w:tcW w:w="60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83,3</w:t>
            </w:r>
          </w:p>
        </w:tc>
        <w:tc>
          <w:tcPr>
            <w:tcW w:w="60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93,3</w:t>
            </w:r>
          </w:p>
        </w:tc>
        <w:tc>
          <w:tcPr>
            <w:tcW w:w="60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100</w:t>
            </w:r>
          </w:p>
        </w:tc>
        <w:tc>
          <w:tcPr>
            <w:tcW w:w="60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100</w:t>
            </w:r>
          </w:p>
        </w:tc>
        <w:tc>
          <w:tcPr>
            <w:tcW w:w="60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100</w:t>
            </w:r>
          </w:p>
        </w:tc>
        <w:tc>
          <w:tcPr>
            <w:tcW w:w="60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100</w:t>
            </w:r>
          </w:p>
        </w:tc>
        <w:tc>
          <w:tcPr>
            <w:tcW w:w="60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100</w:t>
            </w:r>
          </w:p>
        </w:tc>
        <w:tc>
          <w:tcPr>
            <w:tcW w:w="1209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</w:p>
        </w:tc>
        <w:tc>
          <w:tcPr>
            <w:tcW w:w="1724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МИНИСТЕРСТВО ЦИФРОВОГО РАЗВИТИЯ И СВЯЗИ НОВОСИБИРСКОЙ ОБЛАСТИ</w:t>
            </w:r>
          </w:p>
        </w:tc>
        <w:tc>
          <w:tcPr>
            <w:tcW w:w="1378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</w:p>
        </w:tc>
      </w:tr>
      <w:tr>
        <w:tc>
          <w:tcPr>
            <w:tcW w:w="41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5.</w:t>
            </w:r>
          </w:p>
        </w:tc>
        <w:tc>
          <w:tcPr>
            <w:tcW w:w="2355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Доля фактов нарушений Правил дорожного движения, выявленных с помощью автоматических комплексов фото- и 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видеофиксации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, от общего количества выявленных нарушений</w:t>
            </w:r>
          </w:p>
        </w:tc>
        <w:tc>
          <w:tcPr>
            <w:tcW w:w="96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ГП</w:t>
            </w:r>
          </w:p>
        </w:tc>
        <w:tc>
          <w:tcPr>
            <w:tcW w:w="1110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Возрастание</w:t>
            </w:r>
          </w:p>
        </w:tc>
        <w:tc>
          <w:tcPr>
            <w:tcW w:w="937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Процент</w:t>
            </w:r>
          </w:p>
        </w:tc>
        <w:tc>
          <w:tcPr>
            <w:tcW w:w="821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92</w:t>
            </w:r>
          </w:p>
        </w:tc>
        <w:tc>
          <w:tcPr>
            <w:tcW w:w="574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2023</w:t>
            </w:r>
          </w:p>
        </w:tc>
        <w:tc>
          <w:tcPr>
            <w:tcW w:w="60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92,5</w:t>
            </w:r>
          </w:p>
        </w:tc>
        <w:tc>
          <w:tcPr>
            <w:tcW w:w="60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93</w:t>
            </w:r>
          </w:p>
        </w:tc>
        <w:tc>
          <w:tcPr>
            <w:tcW w:w="60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93,2</w:t>
            </w:r>
          </w:p>
        </w:tc>
        <w:tc>
          <w:tcPr>
            <w:tcW w:w="60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93,5</w:t>
            </w:r>
          </w:p>
        </w:tc>
        <w:tc>
          <w:tcPr>
            <w:tcW w:w="60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93,7</w:t>
            </w:r>
          </w:p>
        </w:tc>
        <w:tc>
          <w:tcPr>
            <w:tcW w:w="60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94,1</w:t>
            </w:r>
          </w:p>
        </w:tc>
        <w:tc>
          <w:tcPr>
            <w:tcW w:w="60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94,4</w:t>
            </w:r>
          </w:p>
        </w:tc>
        <w:tc>
          <w:tcPr>
            <w:tcW w:w="1209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</w:p>
        </w:tc>
        <w:tc>
          <w:tcPr>
            <w:tcW w:w="1724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МИНИСТЕРСТВО ТРАНСПОРТА И ДОРОЖНОГО ХОЗЯЙСТВА НОВОСИБИРСКОЙ ОБЛАСТИ</w:t>
            </w:r>
          </w:p>
        </w:tc>
        <w:tc>
          <w:tcPr>
            <w:tcW w:w="1378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</w:p>
        </w:tc>
      </w:tr>
    </w:tbl>
    <w:p>
      <w:pPr>
        <w:spacing w:after="0"/>
      </w:pPr>
    </w:p>
    <w:tbl>
      <w:tblPr>
        <w:tblW w:w="15708" w:type="dxa"/>
        <w:tblInd w:w="1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2"/>
        <w:gridCol w:w="2827"/>
        <w:gridCol w:w="1764"/>
        <w:gridCol w:w="1761"/>
        <w:gridCol w:w="738"/>
        <w:gridCol w:w="740"/>
        <w:gridCol w:w="744"/>
        <w:gridCol w:w="738"/>
        <w:gridCol w:w="735"/>
        <w:gridCol w:w="749"/>
        <w:gridCol w:w="748"/>
        <w:gridCol w:w="735"/>
        <w:gridCol w:w="738"/>
        <w:gridCol w:w="737"/>
        <w:gridCol w:w="738"/>
        <w:gridCol w:w="754"/>
      </w:tblGrid>
      <w:tr>
        <w:tc>
          <w:tcPr>
            <w:tcW w:w="471" w:type="dxa"/>
            <w:gridSpan w:val="16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18"/>
              </w:rPr>
              <w:t xml:space="preserve">3. Помесячный план достижения показателей государственной программы в 2024 году</w:t>
            </w:r>
          </w:p>
        </w:tc>
      </w:tr>
      <w:tr>
        <w:tc>
          <w:tcPr>
            <w:tcW w:w="471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</w:p>
        </w:tc>
        <w:tc>
          <w:tcPr>
            <w:tcW w:w="2958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</w:p>
        </w:tc>
        <w:tc>
          <w:tcPr>
            <w:tcW w:w="1867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</w:p>
        </w:tc>
        <w:tc>
          <w:tcPr>
            <w:tcW w:w="1867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</w:pPr>
          </w:p>
        </w:tc>
      </w:tr>
      <w:tr>
        <w:tc>
          <w:tcPr>
            <w:tcW w:w="471" w:type="dxa"/>
            <w:vMerge w:val="restart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№ п/п</w:t>
            </w:r>
          </w:p>
        </w:tc>
        <w:tc>
          <w:tcPr>
            <w:tcW w:w="2958" w:type="dxa"/>
            <w:vMerge w:val="restart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Цели/показатели государственной программы</w:t>
            </w:r>
          </w:p>
        </w:tc>
        <w:tc>
          <w:tcPr>
            <w:tcW w:w="1867" w:type="dxa"/>
            <w:vMerge w:val="restart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Уровень показателя</w:t>
            </w:r>
          </w:p>
        </w:tc>
        <w:tc>
          <w:tcPr>
            <w:tcW w:w="1867" w:type="dxa"/>
            <w:vMerge w:val="restart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Единица измерения</w:t>
            </w:r>
          </w:p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(по ОКЕИ)</w:t>
            </w:r>
          </w:p>
        </w:tc>
        <w:tc>
          <w:tcPr>
            <w:tcW w:w="776" w:type="dxa"/>
            <w:gridSpan w:val="11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Плановые значения по месяцам</w:t>
            </w:r>
          </w:p>
        </w:tc>
        <w:tc>
          <w:tcPr>
            <w:tcW w:w="776" w:type="dxa"/>
            <w:vMerge w:val="restart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На конец 2024 года</w:t>
            </w:r>
          </w:p>
        </w:tc>
      </w:tr>
      <w:tr>
        <w:tc>
          <w:tcPr>
            <w:tcW w:w="471" w:type="dxa"/>
            <w:vMerge w:val="continue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</w:p>
        </w:tc>
        <w:tc>
          <w:tcPr>
            <w:tcW w:w="2958" w:type="dxa"/>
            <w:vMerge w:val="continue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</w:p>
        </w:tc>
        <w:tc>
          <w:tcPr>
            <w:tcW w:w="1867" w:type="dxa"/>
            <w:vMerge w:val="continue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</w:p>
        </w:tc>
        <w:tc>
          <w:tcPr>
            <w:tcW w:w="1867" w:type="dxa"/>
            <w:vMerge w:val="continue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янв.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фев.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март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апр.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май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июнь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июль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авг.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сен.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окт.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ноя.</w:t>
            </w:r>
          </w:p>
        </w:tc>
        <w:tc>
          <w:tcPr>
            <w:tcW w:w="776" w:type="dxa"/>
            <w:vMerge w:val="continue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</w:p>
        </w:tc>
      </w:tr>
      <w:tr>
        <w:tc>
          <w:tcPr>
            <w:tcW w:w="471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</w:t>
            </w:r>
          </w:p>
        </w:tc>
        <w:tc>
          <w:tcPr>
            <w:tcW w:w="2958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2</w:t>
            </w:r>
          </w:p>
        </w:tc>
        <w:tc>
          <w:tcPr>
            <w:tcW w:w="1867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3</w:t>
            </w:r>
          </w:p>
        </w:tc>
        <w:tc>
          <w:tcPr>
            <w:tcW w:w="1867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4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5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6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7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8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9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10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11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12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13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14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15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16</w:t>
            </w:r>
          </w:p>
        </w:tc>
      </w:tr>
      <w:tr>
        <w:tc>
          <w:tcPr>
            <w:tcW w:w="471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1.</w:t>
            </w:r>
          </w:p>
        </w:tc>
        <w:tc>
          <w:tcPr>
            <w:tcW w:w="2958" w:type="dxa"/>
            <w:gridSpan w:val="15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Цель государственной программы «Обеспечение оперативного реагирования и взаимодействия всех служб, ответственных за обеспечение безопасности»</w:t>
            </w:r>
          </w:p>
        </w:tc>
      </w:tr>
      <w:tr>
        <w:tc>
          <w:tcPr>
            <w:tcW w:w="471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1.1.</w:t>
            </w:r>
          </w:p>
        </w:tc>
        <w:tc>
          <w:tcPr>
            <w:tcW w:w="2958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Количество приобретенных (модернизированных) стационарных систем автоматического контроля и выявления нарушений правил дорожного движения на автомобильных дорогах общего пользования на территории Новосибирской области, в рамках РП «Общесистемные меры развития дорожного хозяйства (Новосибирская область)», ежегодно</w:t>
            </w:r>
          </w:p>
        </w:tc>
        <w:tc>
          <w:tcPr>
            <w:tcW w:w="1867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ГП</w:t>
            </w:r>
          </w:p>
        </w:tc>
        <w:tc>
          <w:tcPr>
            <w:tcW w:w="1867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Единица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X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X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X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X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10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X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X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10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X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X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16</w:t>
            </w:r>
          </w:p>
        </w:tc>
      </w:tr>
      <w:tr>
        <w:tc>
          <w:tcPr>
            <w:tcW w:w="471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1.2.</w:t>
            </w:r>
          </w:p>
        </w:tc>
        <w:tc>
          <w:tcPr>
            <w:tcW w:w="2958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Среднее время комплексного реагирования экстренных оперативных служб на вызовы населения, поступающие по единому номеру «112» на территории Новосибирской области</w:t>
            </w:r>
          </w:p>
        </w:tc>
        <w:tc>
          <w:tcPr>
            <w:tcW w:w="1867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ГП</w:t>
            </w:r>
          </w:p>
        </w:tc>
        <w:tc>
          <w:tcPr>
            <w:tcW w:w="1867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Минута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X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X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40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X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X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40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X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X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40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X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X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40</w:t>
            </w:r>
          </w:p>
        </w:tc>
      </w:tr>
      <w:tr>
        <w:tc>
          <w:tcPr>
            <w:tcW w:w="471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1.3.</w:t>
            </w:r>
          </w:p>
        </w:tc>
        <w:tc>
          <w:tcPr>
            <w:tcW w:w="2958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Количество государственных учреждений Новосибирской области, деятельность которых обеспечена</w:t>
            </w:r>
          </w:p>
        </w:tc>
        <w:tc>
          <w:tcPr>
            <w:tcW w:w="1867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ГП</w:t>
            </w:r>
          </w:p>
        </w:tc>
        <w:tc>
          <w:tcPr>
            <w:tcW w:w="1867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Единица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X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X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2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X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X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2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X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X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2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X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X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2</w:t>
            </w:r>
          </w:p>
        </w:tc>
      </w:tr>
      <w:tr>
        <w:tc>
          <w:tcPr>
            <w:tcW w:w="471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1.4.</w:t>
            </w:r>
          </w:p>
        </w:tc>
        <w:tc>
          <w:tcPr>
            <w:tcW w:w="2958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Новосибирской области</w:t>
            </w:r>
          </w:p>
        </w:tc>
        <w:tc>
          <w:tcPr>
            <w:tcW w:w="1867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ГП</w:t>
            </w:r>
          </w:p>
        </w:tc>
        <w:tc>
          <w:tcPr>
            <w:tcW w:w="1867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Процент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X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X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73,3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X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X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73,3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X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X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73,3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X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X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83,3</w:t>
            </w:r>
          </w:p>
        </w:tc>
      </w:tr>
      <w:tr>
        <w:tc>
          <w:tcPr>
            <w:tcW w:w="471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1.5.</w:t>
            </w:r>
          </w:p>
        </w:tc>
        <w:tc>
          <w:tcPr>
            <w:tcW w:w="2958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Доля фактов нарушений Правил дорожного движения, выявленных с помощью автоматических комплексов фото- и 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видеофиксации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, от общего количества выявленных нарушений</w:t>
            </w:r>
          </w:p>
        </w:tc>
        <w:tc>
          <w:tcPr>
            <w:tcW w:w="1867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ГП</w:t>
            </w:r>
          </w:p>
        </w:tc>
        <w:tc>
          <w:tcPr>
            <w:tcW w:w="1867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Процент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X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X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90,5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X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X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91,5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X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X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92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X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X</w:t>
            </w:r>
          </w:p>
        </w:tc>
        <w:tc>
          <w:tcPr>
            <w:tcW w:w="7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92,5</w:t>
            </w:r>
          </w:p>
        </w:tc>
      </w:tr>
      <w:tr>
        <w:tc>
          <w:tcPr>
            <w:tcW w:w="471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</w:p>
        </w:tc>
        <w:tc>
          <w:tcPr>
            <w:tcW w:w="2958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</w:p>
        </w:tc>
        <w:tc>
          <w:tcPr>
            <w:tcW w:w="1867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</w:p>
        </w:tc>
        <w:tc>
          <w:tcPr>
            <w:tcW w:w="1867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</w:pPr>
          </w:p>
        </w:tc>
        <w:tc>
          <w:tcPr>
            <w:tcW w:w="776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</w:pPr>
          </w:p>
        </w:tc>
      </w:tr>
    </w:tbl>
    <w:p>
      <w:pPr>
        <w:spacing w:after="0"/>
      </w:pPr>
    </w:p>
    <w:tbl>
      <w:tblPr>
        <w:tblW w:w="15708" w:type="dxa"/>
        <w:tblInd w:w="1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9"/>
        <w:gridCol w:w="4897"/>
        <w:gridCol w:w="2993"/>
        <w:gridCol w:w="2841"/>
        <w:gridCol w:w="4238"/>
      </w:tblGrid>
      <w:tr>
        <w:tc>
          <w:tcPr>
            <w:tcW w:w="876" w:type="dxa"/>
            <w:gridSpan w:val="5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18"/>
              </w:rPr>
              <w:t xml:space="preserve">4. Структура государственной программы</w:t>
            </w:r>
          </w:p>
        </w:tc>
      </w:tr>
      <w:tr>
        <w:tc>
          <w:tcPr>
            <w:tcW w:w="876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</w:p>
        </w:tc>
        <w:tc>
          <w:tcPr>
            <w:tcW w:w="6709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</w:p>
        </w:tc>
        <w:tc>
          <w:tcPr>
            <w:tcW w:w="4060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</w:p>
        </w:tc>
        <w:tc>
          <w:tcPr>
            <w:tcW w:w="4060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</w:pPr>
          </w:p>
        </w:tc>
        <w:tc>
          <w:tcPr>
            <w:tcW w:w="5572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</w:pPr>
          </w:p>
        </w:tc>
      </w:tr>
      <w:tr>
        <w:tc>
          <w:tcPr>
            <w:tcW w:w="8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№</w:t>
            </w:r>
          </w:p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п/п</w:t>
            </w:r>
          </w:p>
        </w:tc>
        <w:tc>
          <w:tcPr>
            <w:tcW w:w="6709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Задачи структурного элемента</w:t>
            </w:r>
          </w:p>
        </w:tc>
        <w:tc>
          <w:tcPr>
            <w:tcW w:w="4060" w:type="dxa"/>
            <w:gridSpan w:val="2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Краткое описание ожидаемых</w:t>
            </w:r>
          </w:p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эффектов от реализации задачи</w:t>
            </w:r>
          </w:p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структурного элемента</w:t>
            </w:r>
          </w:p>
        </w:tc>
        <w:tc>
          <w:tcPr>
            <w:tcW w:w="5572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Связь</w:t>
            </w:r>
          </w:p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с показателями</w:t>
            </w:r>
          </w:p>
        </w:tc>
      </w:tr>
      <w:tr>
        <w:tc>
          <w:tcPr>
            <w:tcW w:w="8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</w:t>
            </w:r>
          </w:p>
        </w:tc>
        <w:tc>
          <w:tcPr>
            <w:tcW w:w="6709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2</w:t>
            </w:r>
          </w:p>
        </w:tc>
        <w:tc>
          <w:tcPr>
            <w:tcW w:w="4060" w:type="dxa"/>
            <w:gridSpan w:val="2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3</w:t>
            </w:r>
          </w:p>
        </w:tc>
        <w:tc>
          <w:tcPr>
            <w:tcW w:w="5572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4</w:t>
            </w:r>
          </w:p>
        </w:tc>
      </w:tr>
      <w:tr>
        <w:tc>
          <w:tcPr>
            <w:tcW w:w="8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</w:t>
            </w:r>
          </w:p>
        </w:tc>
        <w:tc>
          <w:tcPr>
            <w:tcW w:w="6709" w:type="dxa"/>
            <w:gridSpan w:val="4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Направление (подпрограмма) "Создание единой цифровой среды в сфере обеспечения безопасности"</w:t>
            </w:r>
          </w:p>
        </w:tc>
      </w:tr>
      <w:tr>
        <w:tc>
          <w:tcPr>
            <w:tcW w:w="8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1.1</w:t>
            </w:r>
          </w:p>
        </w:tc>
        <w:tc>
          <w:tcPr>
            <w:tcW w:w="6709" w:type="dxa"/>
            <w:gridSpan w:val="4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Региональный проект "Общесистемные меры развития дорожного хозяйства (Новосибирская область)"</w:t>
            </w:r>
          </w:p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Теленчинов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 Роман Александрович</w:t>
            </w:r>
          </w:p>
        </w:tc>
      </w:tr>
      <w:tr>
        <w:tc>
          <w:tcPr>
            <w:tcW w:w="8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</w:p>
        </w:tc>
        <w:tc>
          <w:tcPr>
            <w:tcW w:w="6709" w:type="dxa"/>
            <w:gridSpan w:val="2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Ответственный за реализацию:</w:t>
            </w:r>
          </w:p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МИНИСТЕРСТВО ТРАНСПОРТА И ДОРОЖНОГО ХОЗЯЙСТВА НОВОСИБИРСКОЙ ОБЛАСТИ</w:t>
            </w:r>
          </w:p>
        </w:tc>
        <w:tc>
          <w:tcPr>
            <w:tcW w:w="4060" w:type="dxa"/>
            <w:gridSpan w:val="2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Срок реализации:</w:t>
            </w:r>
          </w:p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2018 - 2024</w:t>
            </w:r>
          </w:p>
        </w:tc>
      </w:tr>
      <w:tr>
        <w:tc>
          <w:tcPr>
            <w:tcW w:w="8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1.1.1</w:t>
            </w:r>
          </w:p>
        </w:tc>
        <w:tc>
          <w:tcPr>
            <w:tcW w:w="6709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Применение новых технологий в дорожной отрасли</w:t>
            </w:r>
          </w:p>
        </w:tc>
        <w:tc>
          <w:tcPr>
            <w:tcW w:w="4060" w:type="dxa"/>
            <w:gridSpan w:val="2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Увеличено количество стационарных камер 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фотовидеофиксации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 нарушений правил дорожного движения на автомобильных дорогах</w:t>
            </w:r>
          </w:p>
        </w:tc>
        <w:tc>
          <w:tcPr>
            <w:tcW w:w="5572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Количество приобретенных (модернизированных) стационарных систем автоматического контроля и выявления нарушений правил дорожного движения на автомобильных дорогах общего пользования на территории Новосибирской области, в рамках РП «Общесистемные меры развития дорожного хозяйства (Новосибирская область)», ежегодно</w:t>
            </w:r>
          </w:p>
        </w:tc>
      </w:tr>
      <w:tr>
        <w:tc>
          <w:tcPr>
            <w:tcW w:w="8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1.2</w:t>
            </w:r>
          </w:p>
        </w:tc>
        <w:tc>
          <w:tcPr>
            <w:tcW w:w="6709" w:type="dxa"/>
            <w:gridSpan w:val="4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Комплекс процессных мероприятий "Обеспечение функционирования, расширение и модернизация компонентов АПК "Безопасный город""</w:t>
            </w:r>
          </w:p>
        </w:tc>
      </w:tr>
      <w:tr>
        <w:tc>
          <w:tcPr>
            <w:tcW w:w="8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</w:p>
        </w:tc>
        <w:tc>
          <w:tcPr>
            <w:tcW w:w="6709" w:type="dxa"/>
            <w:gridSpan w:val="2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Ответственный за реализацию:</w:t>
            </w:r>
          </w:p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МИНИСТЕРСТВО ЦИФРОВОГО РАЗВИТИЯ И СВЯЗИ НОВОСИБИРСКОЙ ОБЛАСТИ</w:t>
            </w:r>
          </w:p>
        </w:tc>
        <w:tc>
          <w:tcPr>
            <w:tcW w:w="4060" w:type="dxa"/>
            <w:gridSpan w:val="2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-</w:t>
            </w:r>
          </w:p>
        </w:tc>
      </w:tr>
      <w:tr>
        <w:tc>
          <w:tcPr>
            <w:tcW w:w="8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1.2.1</w:t>
            </w:r>
          </w:p>
        </w:tc>
        <w:tc>
          <w:tcPr>
            <w:tcW w:w="6709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Обеспечение общественной безопасности</w:t>
            </w:r>
          </w:p>
        </w:tc>
        <w:tc>
          <w:tcPr>
            <w:tcW w:w="4060" w:type="dxa"/>
            <w:gridSpan w:val="2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Обеспечена координация работы и взаимодействие служб и ведомств в сфере общественной безопасности</w:t>
            </w:r>
          </w:p>
        </w:tc>
        <w:tc>
          <w:tcPr>
            <w:tcW w:w="5572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Среднее время комплексного реагирования экстренных оперативных служб на вызовы населения, поступающие по единому номеру «112» на территории Новосибирской области</w:t>
            </w:r>
          </w:p>
        </w:tc>
      </w:tr>
      <w:tr>
        <w:tc>
          <w:tcPr>
            <w:tcW w:w="8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1.2.2</w:t>
            </w:r>
          </w:p>
        </w:tc>
        <w:tc>
          <w:tcPr>
            <w:tcW w:w="6709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Обеспечение безопасности населения, среды обитания и муниципальной (коммунальной) инфраструктуры</w:t>
            </w:r>
          </w:p>
        </w:tc>
        <w:tc>
          <w:tcPr>
            <w:tcW w:w="4060" w:type="dxa"/>
            <w:gridSpan w:val="2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Обеспечено функционирование компонентов обеспечения безопасности населения, среды обитания и муниципальной (коммунальной) инфраструктуры</w:t>
            </w:r>
          </w:p>
        </w:tc>
        <w:tc>
          <w:tcPr>
            <w:tcW w:w="5572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Новосибирской области</w:t>
            </w:r>
          </w:p>
        </w:tc>
      </w:tr>
      <w:tr>
        <w:tc>
          <w:tcPr>
            <w:tcW w:w="8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1.2.3</w:t>
            </w:r>
          </w:p>
        </w:tc>
        <w:tc>
          <w:tcPr>
            <w:tcW w:w="6709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Обеспечение функционирования компонентов транспортной безопасности</w:t>
            </w:r>
          </w:p>
        </w:tc>
        <w:tc>
          <w:tcPr>
            <w:tcW w:w="4060" w:type="dxa"/>
            <w:gridSpan w:val="2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Обеспечено функционирование компонентов обеспечения транспортной безопасности</w:t>
            </w:r>
          </w:p>
        </w:tc>
        <w:tc>
          <w:tcPr>
            <w:tcW w:w="5572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Доля фактов нарушений Правил дорожного движения, выявленных с помощью автоматических комплексов фото- и 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видеофиксации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, от общего количества выявленных нарушений</w:t>
            </w:r>
          </w:p>
        </w:tc>
      </w:tr>
      <w:tr>
        <w:tc>
          <w:tcPr>
            <w:tcW w:w="87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1.2.4</w:t>
            </w:r>
          </w:p>
        </w:tc>
        <w:tc>
          <w:tcPr>
            <w:tcW w:w="6709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Реализация функций возложенных на государственные учреждения ГКУ НСО "Служба 112" и ГКУ НСО "ЦОДД"</w:t>
            </w:r>
          </w:p>
        </w:tc>
        <w:tc>
          <w:tcPr>
            <w:tcW w:w="4060" w:type="dxa"/>
            <w:gridSpan w:val="2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Возложенные функции на государственные учреждения ГКУ НСО "Служба 112" и ГКУ НСО "ЦОДД" реализованы в полном объеме</w:t>
            </w:r>
          </w:p>
        </w:tc>
        <w:tc>
          <w:tcPr>
            <w:tcW w:w="5572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Количество государственных учреждений Новосибирской области, деятельность которых обеспечена</w:t>
            </w:r>
          </w:p>
        </w:tc>
      </w:tr>
      <w:tr>
        <w:tc>
          <w:tcPr>
            <w:tcW w:w="876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</w:p>
        </w:tc>
        <w:tc>
          <w:tcPr>
            <w:tcW w:w="6709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</w:p>
        </w:tc>
        <w:tc>
          <w:tcPr>
            <w:tcW w:w="4060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</w:p>
        </w:tc>
        <w:tc>
          <w:tcPr>
            <w:tcW w:w="4060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</w:pPr>
          </w:p>
        </w:tc>
        <w:tc>
          <w:tcPr>
            <w:tcW w:w="5572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</w:pPr>
          </w:p>
        </w:tc>
      </w:tr>
    </w:tbl>
    <w:p>
      <w:pPr>
        <w:spacing w:after="0"/>
      </w:pPr>
    </w:p>
    <w:tbl>
      <w:tblPr>
        <w:tblW w:w="15708" w:type="dxa"/>
        <w:tblInd w:w="1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94"/>
        <w:gridCol w:w="1336"/>
        <w:gridCol w:w="1337"/>
        <w:gridCol w:w="1337"/>
        <w:gridCol w:w="1337"/>
        <w:gridCol w:w="1337"/>
        <w:gridCol w:w="1337"/>
        <w:gridCol w:w="1337"/>
        <w:gridCol w:w="1356"/>
      </w:tblGrid>
      <w:tr>
        <w:tc>
          <w:tcPr>
            <w:tcW w:w="5863" w:type="dxa"/>
            <w:gridSpan w:val="9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18"/>
              </w:rPr>
              <w:t xml:space="preserve">5. Финансовое обеспечение государственной программы</w:t>
            </w:r>
          </w:p>
        </w:tc>
      </w:tr>
      <w:tr>
        <w:tc>
          <w:tcPr>
            <w:tcW w:w="5863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</w:p>
        </w:tc>
        <w:tc>
          <w:tcPr>
            <w:tcW w:w="1406" w:type="dxa"/>
            <w:gridSpan w:val="7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</w:pPr>
          </w:p>
        </w:tc>
      </w:tr>
      <w:tr>
        <w:tc>
          <w:tcPr>
            <w:tcW w:w="5863" w:type="dxa"/>
            <w:vMerge w:val="restart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Наименование государственной программы, структурного 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элемента/источник финансового обеспечения</w:t>
            </w:r>
          </w:p>
        </w:tc>
        <w:tc>
          <w:tcPr>
            <w:tcW w:w="1406" w:type="dxa"/>
            <w:gridSpan w:val="8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Объем финансового обеспечения по годам реализации, тыс. рублей</w:t>
            </w:r>
          </w:p>
        </w:tc>
      </w:tr>
      <w:tr>
        <w:tc>
          <w:tcPr>
            <w:tcW w:w="5863" w:type="dxa"/>
            <w:vMerge w:val="continue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2024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2025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2026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2027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2028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2029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2030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Всего</w:t>
            </w:r>
          </w:p>
        </w:tc>
      </w:tr>
      <w:tr>
        <w:tc>
          <w:tcPr>
            <w:tcW w:w="586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2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3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4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5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6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7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8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9</w:t>
            </w:r>
          </w:p>
        </w:tc>
      </w:tr>
      <w:tr>
        <w:tc>
          <w:tcPr>
            <w:tcW w:w="586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Государственная программа "Построение и развитие аппаратно-программного комплекса "Безопасный город" в Новосибирской области" (всего), в том числе: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1 842 193,51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1 843 588,62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1 748 010,07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1 588 127,97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1 629 289,01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1 671 520,21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1 714 849,43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12 037 578,82</w:t>
            </w:r>
          </w:p>
        </w:tc>
      </w:tr>
      <w:tr>
        <w:tc>
          <w:tcPr>
            <w:tcW w:w="586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Бюджет субъекта Российской Федерации (всего), из них: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1 837 180,94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1 838 576,05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1 742 997,50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1 583 115,40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1 624 276,44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1 666 507,64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1 709 836,86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12 002 490,83</w:t>
            </w:r>
          </w:p>
        </w:tc>
      </w:tr>
      <w:tr>
        <w:tc>
          <w:tcPr>
            <w:tcW w:w="586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в том числе межбюджетные трансферты из федерального бюджета (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справочно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)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</w:tr>
      <w:tr>
        <w:tc>
          <w:tcPr>
            <w:tcW w:w="586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в том числе межбюджетные трансферты из иных бюджетов бюджетной системы Российской Федерации (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справочно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)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</w:tr>
      <w:tr>
        <w:tc>
          <w:tcPr>
            <w:tcW w:w="586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межбюджетные трансферты местным бюджетам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176 605,00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185 900,00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185 900,00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185 900,00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185 900,00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185 900,00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185 900,00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1 292 005,00</w:t>
            </w:r>
          </w:p>
        </w:tc>
      </w:tr>
      <w:tr>
        <w:tc>
          <w:tcPr>
            <w:tcW w:w="586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межбюджетные трансферты бюджету территориального государственного внебюджетного фонда Российской Федерации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</w:tr>
      <w:tr>
        <w:tc>
          <w:tcPr>
            <w:tcW w:w="586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</w:tr>
      <w:tr>
        <w:tc>
          <w:tcPr>
            <w:tcW w:w="586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181 617,57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190 912,57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190 912,57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190 912,57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190 912,57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190 912,57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190 912,57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1 327 092,99</w:t>
            </w:r>
          </w:p>
        </w:tc>
      </w:tr>
      <w:tr>
        <w:tc>
          <w:tcPr>
            <w:tcW w:w="586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Внебюджетные источники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</w:tr>
      <w:tr>
        <w:tc>
          <w:tcPr>
            <w:tcW w:w="586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Нераспределенный резерв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</w:tr>
      <w:tr>
        <w:tc>
          <w:tcPr>
            <w:tcW w:w="586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Объемы налоговых расходов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</w:tr>
      <w:tr>
        <w:tc>
          <w:tcPr>
            <w:tcW w:w="586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Региональный проект "Общесистемные меры развития дорожного хозяйства (Новосибирская область)" (всего), в том числе: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200 554,00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200 000,00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200 000,00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600 554,00</w:t>
            </w:r>
          </w:p>
        </w:tc>
      </w:tr>
      <w:tr>
        <w:tc>
          <w:tcPr>
            <w:tcW w:w="586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Бюджет субъекта Российской Федерации (всего), из них: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200 554,00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200 000,00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200 000,00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600 554,00</w:t>
            </w:r>
          </w:p>
        </w:tc>
      </w:tr>
      <w:tr>
        <w:tc>
          <w:tcPr>
            <w:tcW w:w="586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в том числе межбюджетные трансферты из федерального бюджета (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справочно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)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</w:tr>
      <w:tr>
        <w:tc>
          <w:tcPr>
            <w:tcW w:w="586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в том числе межбюджетные трансферты из иных бюджетов бюджетной системы Российской Федерации (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справочно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)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</w:tr>
      <w:tr>
        <w:tc>
          <w:tcPr>
            <w:tcW w:w="586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межбюджетные трансферты местным бюджетам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</w:tr>
      <w:tr>
        <w:tc>
          <w:tcPr>
            <w:tcW w:w="586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межбюджетные трансферты бюджету территориального государственного внебюджетного фонда Российской Федерации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</w:tr>
      <w:tr>
        <w:tc>
          <w:tcPr>
            <w:tcW w:w="586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</w:tr>
      <w:tr>
        <w:tc>
          <w:tcPr>
            <w:tcW w:w="586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</w:tr>
      <w:tr>
        <w:tc>
          <w:tcPr>
            <w:tcW w:w="586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Внебюджетные источники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</w:tr>
      <w:tr>
        <w:tc>
          <w:tcPr>
            <w:tcW w:w="586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Нераспределенный резерв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</w:tr>
      <w:tr>
        <w:tc>
          <w:tcPr>
            <w:tcW w:w="586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Комплекс процессных мероприятий "Обеспечение функционирования, расширение и модернизация компонентов АПК "Безопасный город"" (всего), в том числе: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1 641 639,51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1 643 588,62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1 548 010,07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1 588 127,97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1 629 289,01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1 671 520,21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1 714 849,43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11 437 024,82</w:t>
            </w:r>
          </w:p>
        </w:tc>
      </w:tr>
      <w:tr>
        <w:tc>
          <w:tcPr>
            <w:tcW w:w="586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Бюджет субъекта Российской Федерации (всего), из них: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1 636 626,94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1 638 576,05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1 542 997,50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1 583 115,40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1 624 276,44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1 666 507,64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1 709 836,86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11 401 936,83</w:t>
            </w:r>
          </w:p>
        </w:tc>
      </w:tr>
      <w:tr>
        <w:tc>
          <w:tcPr>
            <w:tcW w:w="586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в том числе межбюджетные трансферты из федерального бюджета (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справочно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)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</w:tr>
      <w:tr>
        <w:tc>
          <w:tcPr>
            <w:tcW w:w="586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в том числе межбюджетные трансферты из иных бюджетов бюджетной системы Российской Федерации (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справочно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)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</w:tr>
      <w:tr>
        <w:tc>
          <w:tcPr>
            <w:tcW w:w="586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межбюджетные трансферты местным бюджетам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176 605,00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185 900,00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185 900,00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185 900,00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185 900,00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185 900,00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185 900,00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1 292 005,00</w:t>
            </w:r>
          </w:p>
        </w:tc>
      </w:tr>
      <w:tr>
        <w:tc>
          <w:tcPr>
            <w:tcW w:w="586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межбюджетные трансферты бюджету территориального государственного внебюджетного фонда Российской Федерации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</w:tr>
      <w:tr>
        <w:tc>
          <w:tcPr>
            <w:tcW w:w="586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</w:tr>
      <w:tr>
        <w:tc>
          <w:tcPr>
            <w:tcW w:w="586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Консолидированные бюджеты муниципальных образований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181 617,57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190 912,57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190 912,57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190 912,57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190 912,57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190 912,57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190 912,57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1 327 092,99</w:t>
            </w:r>
          </w:p>
        </w:tc>
      </w:tr>
      <w:tr>
        <w:tc>
          <w:tcPr>
            <w:tcW w:w="586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Внебюджетные источники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</w:tr>
      <w:tr>
        <w:tc>
          <w:tcPr>
            <w:tcW w:w="5863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Нераспределенный резерв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  <w:tc>
          <w:tcPr>
            <w:tcW w:w="1406" w:type="dxa"/>
            <w:tcBorders>
              <w:top w:val="single" w:color="auto" w:sz="1" w:space="0"/>
              <w:left w:val="single" w:color="auto" w:sz="1" w:space="0"/>
              <w:bottom w:val="single" w:color="auto" w:sz="1" w:space="0"/>
              <w:right w:val="single" w:color="auto" w:sz="1" w:space="0"/>
            </w:tcBorders>
            <w:shd w:val="solid" w:color="ffffff" w:fill="auto"/>
          </w:tcPr>
          <w:p>
            <w:pPr>
              <w:spacing w:after="0"/>
              <w:ind w:left="55" w:right="55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0,00</w:t>
            </w:r>
          </w:p>
        </w:tc>
      </w:tr>
      <w:tr>
        <w:tc>
          <w:tcPr>
            <w:tcW w:w="5863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one"/>
              <w:left w:val="none"/>
              <w:bottom w:val="none"/>
              <w:right w:val="none"/>
            </w:tcBorders>
            <w:shd w:val="solid" w:color="ffffff" w:fill="auto"/>
            <w:vAlign w:val="bottom"/>
          </w:tcPr>
          <w:p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/>
              <w:ind w:left="55" w:right="55"/>
            </w:pPr>
          </w:p>
        </w:tc>
      </w:tr>
    </w:tbl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0"/>
        <w:jc w:val="right"/>
      </w:pPr>
    </w:p>
    <w:p>
      <w:pPr>
        <w:spacing w:after="0"/>
        <w:jc w:val="right"/>
      </w:pPr>
    </w:p>
    <w:p>
      <w:pPr>
        <w:spacing w:after="0"/>
        <w:jc w:val="right"/>
      </w:pPr>
    </w:p>
    <w:p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Утверждено в ГИИС «ЭБ» </w:t>
      </w:r>
      <w:r>
        <w:rPr>
          <w:rFonts w:ascii="Times New Roman" w:hAnsi="Times New Roman" w:cs="Times New Roman"/>
        </w:rPr>
        <w:t xml:space="preserve">2</w:t>
      </w:r>
      <w:r>
        <w:rPr>
          <w:rFonts w:ascii="Times New Roman" w:hAnsi="Times New Roman" w:cs="Times New Roman"/>
        </w:rPr>
        <w:t xml:space="preserve">1</w:t>
      </w:r>
      <w:bookmarkStart w:id="0" w:name="_GoBack"/>
      <w:bookmarkEnd w:id="0"/>
      <w:r>
        <w:rPr>
          <w:rFonts w:ascii="Times New Roman" w:hAnsi="Times New Roman" w:cs="Times New Roman"/>
        </w:rPr>
        <w:t xml:space="preserve">.01</w:t>
      </w:r>
      <w:r>
        <w:rPr>
          <w:rFonts w:ascii="Times New Roman" w:hAnsi="Times New Roman" w:cs="Times New Roman"/>
        </w:rPr>
        <w:t xml:space="preserve">.2025</w:t>
      </w:r>
    </w:p>
    <w:sectPr>
      <w:pgSz w:w="16840" w:h="11900" w:orient="landscape"/>
      <w:pgMar w:top="1133" w:right="566" w:bottom="1133" w:left="56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 w:val="true"/>
    <w:compatSetting w:name="compatibilityMode" w:uri="http://schemas.microsoft.com/office/word" w:val="12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14551403254GorbovskayaAAb351cf9c7a98495fa1b033e13cc7c9aeDataSourceProviderrukristaplanning2commonweb" w:customStyle="1">
    <w:name w:val="Версия сервера генератора печатных документов: 14.55 Версия клиента генератора печатных документов: 14.0.32 Текущий пользователь: 54_Gorbovskaya.A.A_b351cf9c7a98495fa1b033e13cc7c9ae Данные о генерации: DataSourceProvider: ru.krista.planning2.common.web."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haracters>9945</Characters>
  <CharactersWithSpaces>11666</CharactersWithSpaces>
  <Company>PNO</Company>
  <DocSecurity>0</DocSecurity>
  <HyperlinksChanged>false</HyperlinksChanged>
  <Lines>82</Lines>
  <LinksUpToDate>false</LinksUpToDate>
  <Pages>6</Pages>
  <Paragraphs>23</Paragraphs>
  <ScaleCrop>false</ScaleCrop>
  <SharedDoc>false</SharedDoc>
  <Template>Normal</Template>
  <TotalTime>4</TotalTime>
  <Words>1744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Горбовская Алёна Александровна</cp:lastModifiedBy>
  <cp:revision>4</cp:revision>
  <dcterms:created xsi:type="dcterms:W3CDTF">2025-01-17T08:17:00Z</dcterms:created>
  <dcterms:modified xsi:type="dcterms:W3CDTF">2025-01-21T02:31:00Z</dcterms:modified>
</cp:coreProperties>
</file>